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color w:val="000000"/>
          <w:sz w:val="52"/>
          <w:szCs w:val="52"/>
        </w:rPr>
      </w:pPr>
      <w:r>
        <w:rPr>
          <w:rFonts w:hint="eastAsia" w:ascii="方正小标宋简体" w:hAnsi="宋体" w:eastAsia="方正小标宋简体" w:cs="Times New Roman"/>
          <w:color w:val="FF0000"/>
          <w:sz w:val="44"/>
          <w:szCs w:val="44"/>
        </w:rPr>
        <w:pict>
          <v:shape id="_x0000_i1025" o:spt="136" type="#_x0000_t136" style="height:61.9pt;width:415.1pt;" fillcolor="#FF0000" filled="t" stroked="t" coordsize="21600,21600" adj="10800">
            <v:path/>
            <v:fill on="t" color2="#FFFFFF" focussize="0,0"/>
            <v:stroke color="#FF0000"/>
            <v:imagedata o:title=""/>
            <o:lock v:ext="edit" aspectratio="f"/>
            <v:textpath on="t" fitshape="t" fitpath="t" trim="t" xscale="f" string="齐齐哈尔市第一医院感染管理部文件" style="font-family:方正小标宋简体;font-size:36pt;v-text-align:center;"/>
            <w10:wrap type="none"/>
            <w10:anchorlock/>
          </v:shape>
        </w:pict>
      </w:r>
    </w:p>
    <w:p>
      <w:pPr>
        <w:spacing w:line="320" w:lineRule="exact"/>
        <w:textAlignment w:val="baseline"/>
        <w:rPr>
          <w:rFonts w:hint="eastAsia" w:ascii="仿宋_GB2312" w:hAnsi="宋体" w:eastAsia="仿宋_GB2312" w:cs="Times New Roman"/>
          <w:sz w:val="32"/>
        </w:rPr>
      </w:pPr>
      <w:bookmarkStart w:id="0" w:name="OLE_LINK1"/>
      <w:bookmarkStart w:id="1" w:name="OLE_LINK2"/>
    </w:p>
    <w:p>
      <w:pPr>
        <w:spacing w:line="320" w:lineRule="exact"/>
        <w:jc w:val="center"/>
        <w:textAlignment w:val="baseline"/>
        <w:rPr>
          <w:rFonts w:hint="eastAsia" w:ascii="仿宋_GB2312" w:hAnsi="宋体" w:eastAsia="仿宋_GB2312" w:cs="Times New Roman"/>
          <w:sz w:val="32"/>
        </w:rPr>
      </w:pPr>
      <w:r>
        <w:rPr>
          <w:rFonts w:hint="eastAsia" w:ascii="仿宋_GB2312" w:hAnsi="宋体" w:eastAsia="仿宋_GB2312" w:cs="Times New Roman"/>
          <w:sz w:val="32"/>
        </w:rPr>
        <w:t>齐一院</w:t>
      </w:r>
      <w:r>
        <w:rPr>
          <w:rFonts w:hint="eastAsia" w:ascii="仿宋_GB2312" w:hAnsi="宋体" w:eastAsia="仿宋_GB2312" w:cs="Times New Roman"/>
          <w:sz w:val="32"/>
          <w:lang w:val="en-US" w:eastAsia="zh-CN"/>
        </w:rPr>
        <w:t>感管部</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rPr>
        <w:t>〕</w:t>
      </w:r>
      <w:r>
        <w:rPr>
          <w:rFonts w:hint="eastAsia" w:ascii="仿宋_GB2312" w:hAnsi="宋体" w:eastAsia="仿宋_GB2312" w:cs="Times New Roman"/>
          <w:sz w:val="32"/>
          <w:lang w:val="en-US" w:eastAsia="zh-CN"/>
        </w:rPr>
        <w:t xml:space="preserve">14 </w:t>
      </w:r>
      <w:r>
        <w:rPr>
          <w:rFonts w:hint="eastAsia" w:ascii="仿宋_GB2312" w:hAnsi="宋体" w:eastAsia="仿宋_GB2312" w:cs="Times New Roman"/>
          <w:sz w:val="32"/>
        </w:rPr>
        <w:t>号</w:t>
      </w:r>
    </w:p>
    <w:bookmarkEnd w:id="0"/>
    <w:bookmarkEnd w:id="1"/>
    <w:p>
      <w:pPr>
        <w:rPr>
          <w:rFonts w:hint="eastAsia" w:ascii="Calibri" w:hAnsi="Calibri" w:eastAsia="宋体" w:cs="Times New Roman"/>
          <w:b/>
          <w:sz w:val="44"/>
          <w:szCs w:val="44"/>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123190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5pt;margin-top:9.7pt;height:0pt;width:441pt;z-index:251658240;mso-width-relative:page;mso-height-relative:page;" filled="f" stroked="t" coordsize="21600,21600" o:gfxdata="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YamgTOLBhq+M3X&#10;X3++fL/9/Y3Wm58/2DSJNHisKPbarsNxh34dEuN9G0z6Exe2z8IeTsLKfWSCDi8uy/JVSZqLO19x&#10;f9EHjG+lMywZNdfKJs5Qwe4dRkpGoXch6VhbNtR8dvEy4wFNYEudJ2jjiQXaLl9Gp1WzUlqnKxi6&#10;zbUObAc0BatVSV/iRMD/haUsS8B+jMuucT56Cc0b27B48KSPpWfBUw1GNpxpSa8oWQQIVQSlz4mk&#10;1NpSBUnWUchkbVxzoG5sfVBdT1Jk5XMMdT/Xe5zUNF7/7jPS/et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v8d91gAAAAkBAAAPAAAAAAAAAAEAIAAAACIAAABkcnMvZG93bnJldi54bWxQSwEC&#10;FAAUAAAACACHTuJAKsY3IPYBAADlAwAADgAAAAAAAAABACAAAAAlAQAAZHJzL2Uyb0RvYy54bWxQ&#10;SwUGAAAAAAYABgBZAQAAjQUAAAAA&#10;">
                <v:fill on="f" focussize="0,0"/>
                <v:stroke weight="2pt" color="#FF0000" joinstyle="round"/>
                <v:imagedata o:title=""/>
                <o:lock v:ext="edit" aspectratio="f"/>
              </v:line>
            </w:pict>
          </mc:Fallback>
        </mc:AlternateContent>
      </w:r>
    </w:p>
    <w:p>
      <w:pPr>
        <w:ind w:firstLine="600"/>
        <w:rPr>
          <w:rFonts w:hint="eastAsia" w:ascii="仿宋" w:hAnsi="仿宋" w:eastAsia="仿宋" w:cs="仿宋"/>
          <w:sz w:val="32"/>
          <w:szCs w:val="32"/>
          <w:lang w:val="en-US"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rPr>
        <w:t>新型冠状病毒肺炎样本</w:t>
      </w:r>
      <w:bookmarkStart w:id="2" w:name="_GoBack"/>
      <w:bookmarkEnd w:id="2"/>
    </w:p>
    <w:p>
      <w:pPr>
        <w:jc w:val="center"/>
        <w:rPr>
          <w:rFonts w:hint="eastAsia" w:ascii="仿宋" w:hAnsi="仿宋" w:eastAsia="仿宋" w:cs="仿宋"/>
          <w:b/>
          <w:bCs/>
          <w:sz w:val="44"/>
          <w:szCs w:val="44"/>
        </w:rPr>
      </w:pPr>
      <w:r>
        <w:rPr>
          <w:rFonts w:hint="eastAsia" w:ascii="宋体" w:hAnsi="宋体" w:eastAsia="宋体" w:cs="宋体"/>
          <w:b/>
          <w:bCs/>
          <w:sz w:val="44"/>
          <w:szCs w:val="44"/>
        </w:rPr>
        <w:t>意外溢洒事故处理规范</w:t>
      </w:r>
    </w:p>
    <w:p>
      <w:pPr>
        <w:ind w:firstLine="640" w:firstLineChars="200"/>
        <w:rPr>
          <w:rFonts w:hint="eastAsia" w:ascii="仿宋" w:hAnsi="仿宋" w:eastAsia="仿宋" w:cs="仿宋"/>
          <w:b w:val="0"/>
          <w:bCs w:val="0"/>
          <w:sz w:val="32"/>
          <w:szCs w:val="32"/>
          <w:lang w:val="en-US" w:eastAsia="zh-CN"/>
        </w:rPr>
      </w:pP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严格遵循《实验室生物安全手册(第三版)》世界卫生组织、《新型冠状病毒感染的肺炎防控方案》中华人民共和国国家卫生健康委员会文件要求。</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一、溢洒</w:t>
      </w:r>
      <w:r>
        <w:rPr>
          <w:rFonts w:hint="eastAsia" w:ascii="宋体" w:hAnsi="宋体" w:eastAsia="宋体" w:cs="宋体"/>
          <w:b/>
          <w:bCs/>
          <w:sz w:val="32"/>
          <w:szCs w:val="32"/>
        </w:rPr>
        <w:t>处理</w:t>
      </w:r>
      <w:r>
        <w:rPr>
          <w:rFonts w:hint="eastAsia" w:ascii="宋体" w:hAnsi="宋体" w:eastAsia="宋体" w:cs="宋体"/>
          <w:b/>
          <w:bCs/>
          <w:sz w:val="32"/>
          <w:szCs w:val="32"/>
          <w:lang w:val="en-US" w:eastAsia="zh-CN"/>
        </w:rPr>
        <w:t>消毒液</w:t>
      </w:r>
      <w:r>
        <w:rPr>
          <w:rFonts w:hint="eastAsia" w:ascii="宋体" w:hAnsi="宋体" w:eastAsia="宋体" w:cs="宋体"/>
          <w:b/>
          <w:bCs/>
          <w:sz w:val="32"/>
          <w:szCs w:val="32"/>
        </w:rPr>
        <w:t>配制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根据新型冠状病毒的病原学特点,应提前配制浓度为5000mg/L含氯消毒液备用于实验室及样本运输中的溢酒处理,并记录消毒液配制时间、有效期等,24</w:t>
      </w:r>
      <w:r>
        <w:rPr>
          <w:rFonts w:hint="eastAsia" w:ascii="仿宋" w:hAnsi="仿宋" w:eastAsia="仿宋" w:cs="仿宋"/>
          <w:sz w:val="32"/>
          <w:szCs w:val="32"/>
          <w:lang w:val="en-US" w:eastAsia="zh-CN"/>
        </w:rPr>
        <w:t>h</w:t>
      </w:r>
      <w:r>
        <w:rPr>
          <w:rFonts w:hint="eastAsia" w:ascii="仿宋" w:hAnsi="仿宋" w:eastAsia="仿宋" w:cs="仿宋"/>
          <w:sz w:val="32"/>
          <w:szCs w:val="32"/>
        </w:rPr>
        <w:t>内使用</w:t>
      </w:r>
      <w:r>
        <w:rPr>
          <w:rFonts w:hint="eastAsia" w:ascii="仿宋" w:hAnsi="仿宋" w:eastAsia="仿宋" w:cs="仿宋"/>
          <w:sz w:val="32"/>
          <w:szCs w:val="32"/>
          <w:lang w:eastAsia="zh-CN"/>
        </w:rPr>
        <w:t>。</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二、样本包装不规范造成溢酒的处理程序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辅助容器未密封</w:t>
      </w:r>
      <w:r>
        <w:rPr>
          <w:rFonts w:hint="eastAsia" w:ascii="仿宋" w:hAnsi="仿宋" w:eastAsia="仿宋" w:cs="仿宋"/>
          <w:sz w:val="32"/>
          <w:szCs w:val="32"/>
          <w:lang w:val="en-US" w:eastAsia="zh-CN"/>
        </w:rPr>
        <w:t>处理</w:t>
      </w:r>
      <w:r>
        <w:rPr>
          <w:rFonts w:hint="eastAsia" w:ascii="仿宋" w:hAnsi="仿宋" w:eastAsia="仿宋" w:cs="仿宋"/>
          <w:sz w:val="32"/>
          <w:szCs w:val="32"/>
        </w:rPr>
        <w:t>程序</w:t>
      </w:r>
    </w:p>
    <w:p>
      <w:pPr>
        <w:ind w:firstLine="320" w:firstLineChars="100"/>
        <w:rPr>
          <w:rFonts w:hint="eastAsia" w:ascii="仿宋" w:hAnsi="仿宋" w:eastAsia="仿宋" w:cs="仿宋"/>
          <w:sz w:val="32"/>
          <w:szCs w:val="32"/>
          <w:lang w:eastAsia="zh-CN"/>
        </w:rPr>
      </w:pPr>
      <w:r>
        <w:rPr>
          <w:rFonts w:hint="eastAsia" w:ascii="仿宋" w:hAnsi="仿宋" w:eastAsia="仿宋" w:cs="仿宋"/>
          <w:sz w:val="32"/>
          <w:szCs w:val="32"/>
        </w:rPr>
        <w:t>打开样本运输外包装时如发现辅助容器未按要求密封,立即喷酒有效氯含量为5000mg/L的含氯消毒液进行消毒处理,不得继续检测操作,并记录样本不合格情况,告知送样单位</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主容器样本溢酒</w:t>
      </w:r>
      <w:r>
        <w:rPr>
          <w:rFonts w:hint="eastAsia" w:ascii="仿宋" w:hAnsi="仿宋" w:eastAsia="仿宋" w:cs="仿宋"/>
          <w:sz w:val="32"/>
          <w:szCs w:val="32"/>
          <w:lang w:val="en-US" w:eastAsia="zh-CN"/>
        </w:rPr>
        <w:t>处理</w:t>
      </w:r>
      <w:r>
        <w:rPr>
          <w:rFonts w:hint="eastAsia" w:ascii="仿宋" w:hAnsi="仿宋" w:eastAsia="仿宋" w:cs="仿宋"/>
          <w:sz w:val="32"/>
          <w:szCs w:val="32"/>
        </w:rPr>
        <w:t>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收样时辅助容器必须在生物安全柜中打开,取出主容器(如:样本管,痰盒、便盒、采血管等)时要注意检查主容器外壁表面是否有破损、容器口泄漏等溢酒</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发现溢酒应立刻用吸水材料覆盖,然后用5000mg/L含氯消毒液喷酒,直至吸水材料全部润湿。覆盖范围要足够大,包括喷溅的最远处,消毒液作用30min后,用镊子夹取溢酒物及吸水材料等放入医疗废弃物收集容器,注意不要污染其他表面。再反复用新的吸水纸吸收将剩余液体吸净</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使用75</w:t>
      </w:r>
      <w:r>
        <w:rPr>
          <w:rFonts w:hint="eastAsia" w:ascii="仿宋" w:hAnsi="仿宋" w:eastAsia="仿宋" w:cs="仿宋"/>
          <w:sz w:val="32"/>
          <w:szCs w:val="32"/>
          <w:lang w:val="en-US" w:eastAsia="zh-CN"/>
        </w:rPr>
        <w:t>%</w:t>
      </w:r>
      <w:r>
        <w:rPr>
          <w:rFonts w:hint="eastAsia" w:ascii="仿宋" w:hAnsi="仿宋" w:eastAsia="仿宋" w:cs="仿宋"/>
          <w:sz w:val="32"/>
          <w:szCs w:val="32"/>
        </w:rPr>
        <w:t>酒精或2000mg/L含氯消毒液擦拭生物安全柜台面及柜体。注意使用含氯消毒液后要用清水再次擦拭生物安全柜,避免含氯制剂对生物安全柜的腐蚀</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接触溢酒物后操作人员应及时更换手套,避免二次污染。处理所有废弃物及镊子等处理工具应装入医疗废弃物收集容器进行压力蒸汽灭菌</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应对溢酒及处理情况进行记录,同时记录样本不合格情况,告知送样</w:t>
      </w:r>
      <w:r>
        <w:rPr>
          <w:rFonts w:hint="eastAsia" w:ascii="仿宋" w:hAnsi="仿宋" w:eastAsia="仿宋" w:cs="仿宋"/>
          <w:sz w:val="32"/>
          <w:szCs w:val="32"/>
          <w:lang w:val="en-US" w:eastAsia="zh-CN"/>
        </w:rPr>
        <w:t>单位。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实验加样加液过程中出现的样本溢酒也须按上述要求处理</w:t>
      </w:r>
      <w:r>
        <w:rPr>
          <w:rFonts w:hint="eastAsia" w:ascii="仿宋" w:hAnsi="仿宋" w:eastAsia="仿宋" w:cs="仿宋"/>
          <w:sz w:val="32"/>
          <w:szCs w:val="32"/>
          <w:lang w:eastAsia="zh-CN"/>
        </w:rPr>
        <w:t>。</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样本溢洒造成实验室地面和台面</w:t>
      </w:r>
      <w:r>
        <w:rPr>
          <w:rFonts w:hint="eastAsia" w:ascii="宋体" w:hAnsi="宋体" w:eastAsia="宋体" w:cs="宋体"/>
          <w:b/>
          <w:bCs/>
          <w:sz w:val="32"/>
          <w:szCs w:val="32"/>
          <w:lang w:val="en-US" w:eastAsia="zh-CN"/>
        </w:rPr>
        <w:t>污染处理</w:t>
      </w:r>
      <w:r>
        <w:rPr>
          <w:rFonts w:hint="eastAsia" w:ascii="宋体" w:hAnsi="宋体" w:eastAsia="宋体" w:cs="宋体"/>
          <w:b/>
          <w:bCs/>
          <w:sz w:val="32"/>
          <w:szCs w:val="32"/>
        </w:rPr>
        <w:t>程序</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一般</w:t>
      </w:r>
      <w:r>
        <w:rPr>
          <w:rFonts w:hint="eastAsia" w:ascii="仿宋" w:hAnsi="仿宋" w:eastAsia="仿宋" w:cs="仿宋"/>
          <w:b/>
          <w:bCs/>
          <w:sz w:val="32"/>
          <w:szCs w:val="32"/>
          <w:lang w:val="en-US" w:eastAsia="zh-CN"/>
        </w:rPr>
        <w:t>溢洒</w:t>
      </w:r>
      <w:r>
        <w:rPr>
          <w:rFonts w:hint="eastAsia" w:ascii="仿宋" w:hAnsi="仿宋" w:eastAsia="仿宋" w:cs="仿宋"/>
          <w:b/>
          <w:bCs/>
          <w:sz w:val="32"/>
          <w:szCs w:val="32"/>
        </w:rPr>
        <w:t>事故的处理程序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按照《实验室生物安全手册(第三版)》的应对方案,在实验室地面或台面上发生小面积溢酒时立即用吸水材料覆盖溢酒区域,</w:t>
      </w:r>
      <w:r>
        <w:rPr>
          <w:rFonts w:hint="eastAsia" w:ascii="仿宋" w:hAnsi="仿宋" w:eastAsia="仿宋" w:cs="仿宋"/>
          <w:sz w:val="32"/>
          <w:szCs w:val="32"/>
          <w:lang w:val="en-US" w:eastAsia="zh-CN"/>
        </w:rPr>
        <w:t>覆盖</w:t>
      </w:r>
      <w:r>
        <w:rPr>
          <w:rFonts w:hint="eastAsia" w:ascii="仿宋" w:hAnsi="仿宋" w:eastAsia="仿宋" w:cs="仿宋"/>
          <w:sz w:val="32"/>
          <w:szCs w:val="32"/>
        </w:rPr>
        <w:t>范围要足够大,包括喷溅的最远处。然后用5000mg/L含氯消毒液从外围向中心倾倒,直到吸水性材料全部润湿。消毒液作用30min后,用镊子夹取溢酒物及吸水纸放入医疗废弃物收集容器,利器及碎玻璃等放入利器盒,操作时注意不要扩大污染范围。再反复用新的吸水材料将剩余液体吸净。再次用5000mg/L含氯</w:t>
      </w:r>
      <w:r>
        <w:rPr>
          <w:rFonts w:hint="eastAsia" w:ascii="仿宋" w:hAnsi="仿宋" w:eastAsia="仿宋" w:cs="仿宋"/>
          <w:sz w:val="32"/>
          <w:szCs w:val="32"/>
          <w:lang w:val="en-US" w:eastAsia="zh-CN"/>
        </w:rPr>
        <w:t>消</w:t>
      </w:r>
      <w:r>
        <w:rPr>
          <w:rFonts w:hint="eastAsia" w:ascii="仿宋" w:hAnsi="仿宋" w:eastAsia="仿宋" w:cs="仿宋"/>
          <w:sz w:val="32"/>
          <w:szCs w:val="32"/>
        </w:rPr>
        <w:t>毒液对污染区域喷酒、擦拭消毒,最后用清水擦拭。</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产生气溶胶污染的溢洒事故处理程序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实验室操作人员应先进行风险评估,考虑到从实验室疏散人员的必要性,避免大量气溶胶污染。疏散人员在缓冲区尽快脱去个体防护装备(不要摘掉口罩),离开实验室,锁门并禁止人员进入控制污染扩散</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立即通知实验室主管领导和安全负责人查清情况,确定处理程序</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事故处理要求双人操作,等待30min以上,使气溶胶沉降后再进入实验室。事故处理人员防装备为N95及以上防护口罩、护目镜、连体防护服、双层乳胶手套、防水靴套</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完成</w:t>
      </w:r>
      <w:r>
        <w:rPr>
          <w:rFonts w:hint="eastAsia" w:ascii="仿宋" w:hAnsi="仿宋" w:eastAsia="仿宋" w:cs="仿宋"/>
          <w:sz w:val="32"/>
          <w:szCs w:val="32"/>
          <w:lang w:val="en-US" w:eastAsia="zh-CN"/>
        </w:rPr>
        <w:t>三-1</w:t>
      </w:r>
      <w:r>
        <w:rPr>
          <w:rFonts w:hint="eastAsia" w:ascii="仿宋" w:hAnsi="仿宋" w:eastAsia="仿宋" w:cs="仿宋"/>
          <w:sz w:val="32"/>
          <w:szCs w:val="32"/>
        </w:rPr>
        <w:t>中所述操作程序</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溢酒处理过程中,操作人员接触溢酒物后应及时更换手套,避免二次污染。溢酒处理所有废弃物及镊子等处理工具应装入医疗废弃物收集容器进行压力蒸汽灭菌</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实验室须经专业人员进行终末消毒,并进行环境安全性评价,确认无风险后方可重新启用</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记录和报告</w:t>
      </w:r>
    </w:p>
    <w:p>
      <w:pPr>
        <w:ind w:firstLine="320" w:firstLineChars="100"/>
        <w:rPr>
          <w:rFonts w:hint="eastAsia" w:ascii="仿宋" w:hAnsi="仿宋" w:eastAsia="仿宋" w:cs="仿宋"/>
          <w:sz w:val="32"/>
          <w:szCs w:val="32"/>
          <w:lang w:eastAsia="zh-CN"/>
        </w:rPr>
      </w:pPr>
      <w:r>
        <w:rPr>
          <w:rFonts w:hint="eastAsia" w:ascii="仿宋" w:hAnsi="仿宋" w:eastAsia="仿宋" w:cs="仿宋"/>
          <w:sz w:val="32"/>
          <w:szCs w:val="32"/>
        </w:rPr>
        <w:t>按最新版本的《新型冠状病毒感染的肺炎防控方案》进行报告并记录事故处理过程和结果,对有暴露风险的人员进行分类评估,并采取必要的救治、隔离等措施</w:t>
      </w:r>
      <w:r>
        <w:rPr>
          <w:rFonts w:hint="eastAsia" w:ascii="仿宋" w:hAnsi="仿宋" w:eastAsia="仿宋" w:cs="仿宋"/>
          <w:sz w:val="32"/>
          <w:szCs w:val="32"/>
          <w:lang w:eastAsia="zh-CN"/>
        </w:rPr>
        <w:t>。</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四、同一建筑物内样本转移过程出现溢酒的处理程序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转移样本时应携带应急处理箱。应急处理箱应包括24h内配制的5000mg/L含氯消毒液或同等效力的消毒液、乳胶手套、N95及以上防护口罩、防护服、吸水性材料、镊子、警示标志、隔离带等</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发生溢酒立即用吸水性材料覆盖溢酒区域,覆盖范围足够大,包括</w:t>
      </w:r>
      <w:r>
        <w:rPr>
          <w:rFonts w:hint="eastAsia" w:ascii="仿宋" w:hAnsi="仿宋" w:eastAsia="仿宋" w:cs="仿宋"/>
          <w:sz w:val="32"/>
          <w:szCs w:val="32"/>
          <w:lang w:val="en-US" w:eastAsia="zh-CN"/>
        </w:rPr>
        <w:t>喷溅</w:t>
      </w:r>
      <w:r>
        <w:rPr>
          <w:rFonts w:hint="eastAsia" w:ascii="仿宋" w:hAnsi="仿宋" w:eastAsia="仿宋" w:cs="仿宋"/>
          <w:sz w:val="32"/>
          <w:szCs w:val="32"/>
        </w:rPr>
        <w:t>的最远处。然后用500</w:t>
      </w:r>
      <w:r>
        <w:rPr>
          <w:rFonts w:hint="eastAsia" w:ascii="仿宋" w:hAnsi="仿宋" w:eastAsia="仿宋" w:cs="仿宋"/>
          <w:sz w:val="32"/>
          <w:szCs w:val="32"/>
          <w:lang w:val="en-US" w:eastAsia="zh-CN"/>
        </w:rPr>
        <w:t>0</w:t>
      </w:r>
      <w:r>
        <w:rPr>
          <w:rFonts w:hint="eastAsia" w:ascii="仿宋" w:hAnsi="仿宋" w:eastAsia="仿宋" w:cs="仿宋"/>
          <w:sz w:val="32"/>
          <w:szCs w:val="32"/>
        </w:rPr>
        <w:t>mg/L含氯消毒液从外围向中心倾倒,直到吸水性材料全部润湿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疏散周围人员,大声警告,并在主要通道口悬挂警示标志,禁止人员进入。同时立即通知上级领导,组织人员维持秩序</w:t>
      </w:r>
      <w:r>
        <w:rPr>
          <w:rFonts w:hint="eastAsia" w:ascii="仿宋" w:hAnsi="仿宋" w:eastAsia="仿宋" w:cs="仿宋"/>
          <w:sz w:val="32"/>
          <w:szCs w:val="32"/>
          <w:lang w:val="en-US" w:eastAsia="zh-CN"/>
        </w:rPr>
        <w:t>并</w:t>
      </w:r>
      <w:r>
        <w:rPr>
          <w:rFonts w:hint="eastAsia" w:ascii="仿宋" w:hAnsi="仿宋" w:eastAsia="仿宋" w:cs="仿宋"/>
          <w:sz w:val="32"/>
          <w:szCs w:val="32"/>
        </w:rPr>
        <w:t>封闭场所</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事故处理保证双人操作。人员个体防护装备为N95及以上防护口罩、护目镜、连体防护服、双层乳胶手套、防水靴套</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消毒液作用30min后,用镊子夹取溢酒物及吸水材料等放入医疗废弃物收集容器,利器及碎玻璃等放入利器盒,操作时注意不要扩大污染范围。再反复用新的吸水纸将剩余液体吸净。用</w:t>
      </w:r>
      <w:r>
        <w:rPr>
          <w:rFonts w:hint="eastAsia" w:ascii="仿宋" w:hAnsi="仿宋" w:eastAsia="仿宋" w:cs="仿宋"/>
          <w:sz w:val="32"/>
          <w:szCs w:val="32"/>
          <w:lang w:val="en-US" w:eastAsia="zh-CN"/>
        </w:rPr>
        <w:t>5</w:t>
      </w:r>
      <w:r>
        <w:rPr>
          <w:rFonts w:hint="eastAsia" w:ascii="仿宋" w:hAnsi="仿宋" w:eastAsia="仿宋" w:cs="仿宋"/>
          <w:sz w:val="32"/>
          <w:szCs w:val="32"/>
        </w:rPr>
        <w:t>000mg/L含氯消毒液对污染区域再次喷酒、擦拭消毒,最后用清水擦拭</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操作人员在处理过程中接触溢酒物后应及时更换手套,避免二次污染。溢酒处理所有废弃物及镊子等处理工具应装入医疗废弃物收集容器进行压力蒸汽灭菌</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溢酒可能产生气溶胶,还需对整个场所进行空气消毒并开窗通风。场所应经专业人员进行环境消毒,进行环境安全性评价,确认无风险后方可解除封锁</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对有暴露风险人员进行分类评估,并按最新版本的《新型冠状病毒感染的肺炎防控方案》进行报告,对相关人员采取必要的救治、隔离等措施。记录人员暴露及隔离救治情况,并追踪后续是否发生</w:t>
      </w:r>
      <w:r>
        <w:rPr>
          <w:rFonts w:hint="eastAsia" w:ascii="仿宋" w:hAnsi="仿宋" w:eastAsia="仿宋" w:cs="仿宋"/>
          <w:sz w:val="32"/>
          <w:szCs w:val="32"/>
          <w:lang w:val="en-US" w:eastAsia="zh-CN"/>
        </w:rPr>
        <w:t>感染。</w:t>
      </w: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_GB2312" w:hAnsi="宋体" w:eastAsia="仿宋_GB2312" w:cs="Times New Roman"/>
          <w:sz w:val="32"/>
        </w:rPr>
      </w:pPr>
      <w:r>
        <w:rPr>
          <w:rFonts w:hint="eastAsia" w:ascii="仿宋" w:hAnsi="仿宋" w:eastAsia="仿宋" w:cs="仿宋"/>
          <w:sz w:val="32"/>
          <w:szCs w:val="32"/>
          <w:lang w:val="en-US" w:eastAsia="zh-CN"/>
        </w:rPr>
        <w:t xml:space="preserve">                        </w:t>
      </w:r>
      <w:r>
        <w:rPr>
          <w:rFonts w:hint="eastAsia" w:ascii="仿宋" w:hAnsi="仿宋" w:eastAsia="仿宋"/>
          <w:sz w:val="30"/>
          <w:szCs w:val="30"/>
        </w:rPr>
        <w:t xml:space="preserve">                    </w:t>
      </w:r>
      <w:r>
        <w:rPr>
          <w:rFonts w:hint="eastAsia" w:ascii="仿宋" w:hAnsi="仿宋" w:eastAsia="仿宋" w:cs="仿宋"/>
          <w:sz w:val="32"/>
          <w:szCs w:val="32"/>
        </w:rPr>
        <w:t xml:space="preserve">                                   </w:t>
      </w:r>
    </w:p>
    <w:p>
      <w:pPr>
        <w:rPr>
          <w:rFonts w:hint="eastAsia" w:ascii="仿宋_GB2312" w:hAnsi="Calibri" w:eastAsia="仿宋_GB2312" w:cs="Times New Roman"/>
          <w:b/>
          <w:sz w:val="30"/>
          <w:szCs w:val="30"/>
          <w:u w:val="single"/>
        </w:rPr>
      </w:pPr>
      <w:r>
        <w:rPr>
          <w:rFonts w:hint="eastAsia" w:ascii="仿宋_GB2312" w:hAnsi="Calibri" w:eastAsia="仿宋_GB2312" w:cs="Times New Roman"/>
          <w:bCs/>
          <w:sz w:val="30"/>
          <w:szCs w:val="30"/>
          <w:u w:val="single"/>
        </w:rPr>
        <w:t>抄送：</w:t>
      </w:r>
      <w:r>
        <w:rPr>
          <w:rFonts w:hint="eastAsia" w:ascii="仿宋_GB2312" w:eastAsia="仿宋_GB2312" w:cs="Times New Roman"/>
          <w:bCs/>
          <w:sz w:val="30"/>
          <w:szCs w:val="30"/>
          <w:u w:val="single"/>
          <w:lang w:val="en-US" w:eastAsia="zh-CN"/>
        </w:rPr>
        <w:t>残康楼工作人员  医务部  护理部</w:t>
      </w:r>
      <w:r>
        <w:rPr>
          <w:rFonts w:hint="eastAsia" w:ascii="仿宋_GB2312" w:hAnsi="Calibri" w:eastAsia="仿宋_GB2312" w:cs="Times New Roman"/>
          <w:b/>
          <w:sz w:val="30"/>
          <w:szCs w:val="30"/>
          <w:u w:val="single"/>
        </w:rPr>
        <w:t xml:space="preserve">                                           </w:t>
      </w:r>
    </w:p>
    <w:p>
      <w:r>
        <w:rPr>
          <w:rFonts w:hint="eastAsia" w:ascii="仿宋_GB2312" w:hAnsi="Calibri" w:eastAsia="仿宋_GB2312" w:cs="Times New Roman"/>
          <w:sz w:val="30"/>
          <w:szCs w:val="30"/>
          <w:u w:val="single"/>
        </w:rPr>
        <w:t>齐齐哈尔市第一院感染管理</w:t>
      </w:r>
      <w:r>
        <w:rPr>
          <w:rFonts w:hint="eastAsia" w:ascii="仿宋_GB2312" w:eastAsia="仿宋_GB2312" w:cs="Times New Roman"/>
          <w:sz w:val="30"/>
          <w:szCs w:val="30"/>
          <w:u w:val="single"/>
          <w:lang w:val="en-US" w:eastAsia="zh-CN"/>
        </w:rPr>
        <w:t>部</w:t>
      </w:r>
      <w:r>
        <w:rPr>
          <w:rFonts w:hint="eastAsia" w:ascii="仿宋_GB2312" w:hAnsi="Calibri" w:eastAsia="仿宋_GB2312" w:cs="Times New Roman"/>
          <w:sz w:val="30"/>
          <w:szCs w:val="30"/>
          <w:u w:val="single"/>
        </w:rPr>
        <w:t xml:space="preserve">         </w:t>
      </w:r>
      <w:r>
        <w:rPr>
          <w:rFonts w:hint="eastAsia" w:ascii="仿宋_GB2312" w:eastAsia="仿宋_GB2312" w:cs="Times New Roman"/>
          <w:sz w:val="30"/>
          <w:szCs w:val="30"/>
          <w:u w:val="single"/>
          <w:lang w:val="en-US" w:eastAsia="zh-CN"/>
        </w:rPr>
        <w:t xml:space="preserve"> </w:t>
      </w:r>
      <w:r>
        <w:rPr>
          <w:rFonts w:hint="eastAsia" w:ascii="仿宋_GB2312" w:hAnsi="Calibri" w:eastAsia="仿宋_GB2312" w:cs="Times New Roman"/>
          <w:sz w:val="30"/>
          <w:szCs w:val="30"/>
          <w:u w:val="single"/>
        </w:rPr>
        <w:t xml:space="preserve">  </w:t>
      </w:r>
      <w:r>
        <w:rPr>
          <w:rFonts w:hint="eastAsia" w:ascii="仿宋_GB2312" w:eastAsia="仿宋_GB2312" w:cs="Times New Roman"/>
          <w:sz w:val="30"/>
          <w:szCs w:val="30"/>
          <w:u w:val="single"/>
          <w:lang w:val="en-US" w:eastAsia="zh-CN"/>
        </w:rPr>
        <w:t xml:space="preserve">   </w:t>
      </w:r>
      <w:r>
        <w:rPr>
          <w:rFonts w:hint="eastAsia" w:ascii="仿宋_GB2312" w:hAnsi="Calibri" w:eastAsia="仿宋_GB2312" w:cs="Times New Roman"/>
          <w:sz w:val="30"/>
          <w:szCs w:val="30"/>
          <w:u w:val="single"/>
        </w:rPr>
        <w:t xml:space="preserve"> 202</w:t>
      </w:r>
      <w:r>
        <w:rPr>
          <w:rFonts w:hint="eastAsia" w:ascii="仿宋_GB2312" w:eastAsia="仿宋_GB2312" w:cs="Times New Roman"/>
          <w:sz w:val="30"/>
          <w:szCs w:val="30"/>
          <w:u w:val="single"/>
          <w:lang w:val="en-US" w:eastAsia="zh-CN"/>
        </w:rPr>
        <w:t>1</w:t>
      </w:r>
      <w:r>
        <w:rPr>
          <w:rFonts w:hint="eastAsia" w:ascii="仿宋_GB2312" w:hAnsi="Calibri" w:eastAsia="仿宋_GB2312" w:cs="Times New Roman"/>
          <w:sz w:val="30"/>
          <w:szCs w:val="30"/>
          <w:u w:val="single"/>
        </w:rPr>
        <w:t>年1月</w:t>
      </w:r>
      <w:r>
        <w:rPr>
          <w:rFonts w:hint="eastAsia" w:ascii="仿宋_GB2312" w:eastAsia="仿宋_GB2312" w:cs="Times New Roman"/>
          <w:sz w:val="30"/>
          <w:szCs w:val="30"/>
          <w:u w:val="single"/>
          <w:lang w:val="en-US" w:eastAsia="zh-CN"/>
        </w:rPr>
        <w:t>4</w:t>
      </w:r>
      <w:r>
        <w:rPr>
          <w:rFonts w:hint="eastAsia" w:ascii="仿宋_GB2312" w:hAnsi="Calibri" w:eastAsia="仿宋_GB2312" w:cs="Times New Roman"/>
          <w:sz w:val="30"/>
          <w:szCs w:val="30"/>
          <w:u w:val="single"/>
        </w:rPr>
        <w:t>日</w:t>
      </w:r>
    </w:p>
    <w:sectPr>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04B8E"/>
    <w:rsid w:val="0A6169EC"/>
    <w:rsid w:val="11513265"/>
    <w:rsid w:val="142521C2"/>
    <w:rsid w:val="17897F0C"/>
    <w:rsid w:val="1CE92BE0"/>
    <w:rsid w:val="1D2D2E38"/>
    <w:rsid w:val="23C2101E"/>
    <w:rsid w:val="33381DEB"/>
    <w:rsid w:val="37DA7DF1"/>
    <w:rsid w:val="474E6592"/>
    <w:rsid w:val="4FD02F87"/>
    <w:rsid w:val="501E1823"/>
    <w:rsid w:val="510F3FC5"/>
    <w:rsid w:val="517B00A1"/>
    <w:rsid w:val="52842762"/>
    <w:rsid w:val="5887701D"/>
    <w:rsid w:val="5BD051A2"/>
    <w:rsid w:val="5D993E41"/>
    <w:rsid w:val="60EA028B"/>
    <w:rsid w:val="661839F6"/>
    <w:rsid w:val="67907E68"/>
    <w:rsid w:val="6CF17E6E"/>
    <w:rsid w:val="794F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customStyle="1" w:styleId="7">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2021-01-13T10:07:00Z</dcterms:created>
  <dc:creator>Administrator</dc:creator>
  <cp:lastModifiedBy>Administrator</cp:lastModifiedBy>
  <dcterms:modified xsi:type="dcterms:W3CDTF">2021-01-13T15:02:34Z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